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B7E09">
      <w:pPr>
        <w:pStyle w:val="6"/>
        <w:jc w:val="center"/>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第八章 拟签订采购合同文本</w:t>
      </w:r>
    </w:p>
    <w:p w14:paraId="6496392F">
      <w:pPr>
        <w:widowControl/>
        <w:snapToGrid w:val="0"/>
        <w:jc w:val="center"/>
        <w:textAlignment w:val="baseline"/>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19F0D2BA">
      <w:pPr>
        <w:widowControl/>
        <w:snapToGrid w:val="0"/>
        <w:jc w:val="center"/>
        <w:textAlignment w:val="baseline"/>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5FA4C738">
      <w:pPr>
        <w:widowControl/>
        <w:snapToGrid w:val="0"/>
        <w:jc w:val="center"/>
        <w:textAlignment w:val="baseline"/>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01064977">
      <w:pPr>
        <w:widowControl/>
        <w:snapToGrid w:val="0"/>
        <w:jc w:val="center"/>
        <w:textAlignment w:val="baseline"/>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（本合同为样稿，部分内容可根据成交供应商响应文件响应由双方协商后确定） </w:t>
      </w:r>
    </w:p>
    <w:p w14:paraId="40C641B8">
      <w:pPr>
        <w:widowControl/>
        <w:snapToGrid w:val="0"/>
        <w:jc w:val="center"/>
        <w:textAlignment w:val="baseline"/>
        <w:rPr>
          <w:rFonts w:hint="eastAsia" w:ascii="仿宋" w:hAnsi="仿宋" w:eastAsia="仿宋" w:cs="仿宋"/>
          <w:b/>
          <w:bCs/>
          <w:color w:val="000000" w:themeColor="text1"/>
          <w:sz w:val="56"/>
          <w:szCs w:val="56"/>
          <w:highlight w:val="none"/>
          <w:lang w:val="en-US" w:eastAsia="zh-CN"/>
          <w14:textFill>
            <w14:solidFill>
              <w14:schemeClr w14:val="tx1"/>
            </w14:solidFill>
          </w14:textFill>
        </w:rPr>
      </w:pPr>
    </w:p>
    <w:p w14:paraId="10479399">
      <w:pPr>
        <w:widowControl/>
        <w:snapToGrid w:val="0"/>
        <w:jc w:val="center"/>
        <w:textAlignment w:val="baseline"/>
        <w:rPr>
          <w:rFonts w:hint="eastAsia" w:ascii="仿宋" w:hAnsi="仿宋" w:eastAsia="仿宋" w:cs="仿宋"/>
          <w:b/>
          <w:bCs/>
          <w:color w:val="000000" w:themeColor="text1"/>
          <w:sz w:val="44"/>
          <w:szCs w:val="44"/>
          <w:highlight w:val="none"/>
          <w14:textFill>
            <w14:solidFill>
              <w14:schemeClr w14:val="tx1"/>
            </w14:solidFill>
          </w14:textFill>
        </w:rPr>
      </w:pPr>
      <w:r>
        <w:rPr>
          <w:rFonts w:hint="eastAsia" w:ascii="仿宋" w:hAnsi="仿宋" w:eastAsia="仿宋" w:cs="仿宋"/>
          <w:b/>
          <w:bCs/>
          <w:color w:val="000000" w:themeColor="text1"/>
          <w:sz w:val="44"/>
          <w:szCs w:val="44"/>
          <w:highlight w:val="none"/>
          <w:lang w:val="en-US" w:eastAsia="zh-CN"/>
          <w14:textFill>
            <w14:solidFill>
              <w14:schemeClr w14:val="tx1"/>
            </w14:solidFill>
          </w14:textFill>
        </w:rPr>
        <w:t>野生动物防护建设项目-森林资源巡护工程</w:t>
      </w:r>
    </w:p>
    <w:p w14:paraId="37DB7EB2">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p>
    <w:p w14:paraId="1EF14D2D">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p>
    <w:p w14:paraId="647D649A">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p>
    <w:p w14:paraId="69314627">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r>
        <w:rPr>
          <w:rFonts w:hint="eastAsia" w:ascii="仿宋" w:hAnsi="仿宋" w:eastAsia="仿宋" w:cs="仿宋"/>
          <w:b/>
          <w:bCs/>
          <w:color w:val="000000" w:themeColor="text1"/>
          <w:sz w:val="52"/>
          <w:szCs w:val="52"/>
          <w:highlight w:val="none"/>
          <w14:textFill>
            <w14:solidFill>
              <w14:schemeClr w14:val="tx1"/>
            </w14:solidFill>
          </w14:textFill>
        </w:rPr>
        <w:t>服务采购合同</w:t>
      </w:r>
    </w:p>
    <w:p w14:paraId="2D353574">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p>
    <w:p w14:paraId="2F6C9998">
      <w:pPr>
        <w:widowControl/>
        <w:snapToGrid w:val="0"/>
        <w:jc w:val="center"/>
        <w:textAlignment w:val="baseline"/>
        <w:rPr>
          <w:rFonts w:hint="eastAsia" w:ascii="仿宋" w:hAnsi="仿宋" w:eastAsia="仿宋" w:cs="仿宋"/>
          <w:b/>
          <w:bCs/>
          <w:color w:val="000000" w:themeColor="text1"/>
          <w:sz w:val="52"/>
          <w:szCs w:val="52"/>
          <w:highlight w:val="none"/>
          <w14:textFill>
            <w14:solidFill>
              <w14:schemeClr w14:val="tx1"/>
            </w14:solidFill>
          </w14:textFill>
        </w:rPr>
      </w:pPr>
    </w:p>
    <w:p w14:paraId="2FA2D84A">
      <w:pPr>
        <w:widowControl/>
        <w:textAlignment w:val="baseline"/>
        <w:rPr>
          <w:rFonts w:hint="eastAsia" w:ascii="仿宋" w:hAnsi="仿宋" w:eastAsia="仿宋" w:cs="仿宋"/>
          <w:color w:val="000000" w:themeColor="text1"/>
          <w:szCs w:val="20"/>
          <w:highlight w:val="none"/>
          <w14:textFill>
            <w14:solidFill>
              <w14:schemeClr w14:val="tx1"/>
            </w14:solidFill>
          </w14:textFill>
        </w:rPr>
      </w:pPr>
    </w:p>
    <w:p w14:paraId="37ED85F8">
      <w:pPr>
        <w:widowControl/>
        <w:snapToGrid w:val="0"/>
        <w:textAlignment w:val="baseline"/>
        <w:rPr>
          <w:rFonts w:hint="eastAsia" w:ascii="仿宋" w:hAnsi="仿宋" w:eastAsia="仿宋" w:cs="仿宋"/>
          <w:color w:val="000000" w:themeColor="text1"/>
          <w:szCs w:val="20"/>
          <w:highlight w:val="none"/>
          <w14:textFill>
            <w14:solidFill>
              <w14:schemeClr w14:val="tx1"/>
            </w14:solidFill>
          </w14:textFill>
        </w:rPr>
      </w:pPr>
    </w:p>
    <w:p w14:paraId="69DD2C2B">
      <w:pPr>
        <w:widowControl/>
        <w:snapToGrid w:val="0"/>
        <w:textAlignment w:val="baseline"/>
        <w:rPr>
          <w:rFonts w:hint="eastAsia" w:ascii="仿宋" w:hAnsi="仿宋" w:eastAsia="仿宋" w:cs="仿宋"/>
          <w:color w:val="000000" w:themeColor="text1"/>
          <w:szCs w:val="20"/>
          <w:highlight w:val="none"/>
          <w14:textFill>
            <w14:solidFill>
              <w14:schemeClr w14:val="tx1"/>
            </w14:solidFill>
          </w14:textFill>
        </w:rPr>
      </w:pPr>
    </w:p>
    <w:p w14:paraId="7F7F40E4">
      <w:pPr>
        <w:widowControl/>
        <w:snapToGrid w:val="0"/>
        <w:textAlignment w:val="baseline"/>
        <w:rPr>
          <w:rFonts w:hint="eastAsia" w:ascii="仿宋" w:hAnsi="仿宋" w:eastAsia="仿宋" w:cs="仿宋"/>
          <w:color w:val="000000" w:themeColor="text1"/>
          <w:szCs w:val="20"/>
          <w:highlight w:val="none"/>
          <w14:textFill>
            <w14:solidFill>
              <w14:schemeClr w14:val="tx1"/>
            </w14:solidFill>
          </w14:textFill>
        </w:rPr>
      </w:pPr>
    </w:p>
    <w:p w14:paraId="03562A5B">
      <w:pPr>
        <w:widowControl/>
        <w:snapToGrid w:val="0"/>
        <w:textAlignment w:val="baseline"/>
        <w:rPr>
          <w:rFonts w:hint="eastAsia" w:ascii="仿宋" w:hAnsi="仿宋" w:eastAsia="仿宋" w:cs="仿宋"/>
          <w:color w:val="000000" w:themeColor="text1"/>
          <w:sz w:val="28"/>
          <w:szCs w:val="28"/>
          <w:highlight w:val="none"/>
          <w14:textFill>
            <w14:solidFill>
              <w14:schemeClr w14:val="tx1"/>
            </w14:solidFill>
          </w14:textFill>
        </w:rPr>
      </w:pPr>
    </w:p>
    <w:p w14:paraId="3B04AA5D">
      <w:pPr>
        <w:widowControl/>
        <w:snapToGrid w:val="0"/>
        <w:spacing w:line="360" w:lineRule="auto"/>
        <w:textAlignment w:val="baseline"/>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w:t>
      </w:r>
      <w:bookmarkStart w:id="0" w:name="tip_risk_bookmark_18"/>
      <w:r>
        <w:rPr>
          <w:rFonts w:hint="eastAsia" w:ascii="仿宋" w:hAnsi="仿宋" w:eastAsia="仿宋" w:cs="仿宋"/>
          <w:color w:val="000000" w:themeColor="text1"/>
          <w:sz w:val="28"/>
          <w:szCs w:val="28"/>
          <w:highlight w:val="none"/>
          <w14:textFill>
            <w14:solidFill>
              <w14:schemeClr w14:val="tx1"/>
            </w14:solidFill>
          </w14:textFill>
        </w:rPr>
        <w:t>甲方：</w:t>
      </w:r>
      <w:r>
        <w:rPr>
          <w:rFonts w:hint="eastAsia" w:ascii="仿宋" w:hAnsi="仿宋" w:eastAsia="仿宋" w:cs="仿宋"/>
          <w:color w:val="000000" w:themeColor="text1"/>
          <w:sz w:val="28"/>
          <w:szCs w:val="28"/>
          <w:highlight w:val="none"/>
          <w:u w:val="single" w:color="000000"/>
          <w14:textFill>
            <w14:solidFill>
              <w14:schemeClr w14:val="tx1"/>
            </w14:solidFill>
          </w14:textFill>
        </w:rPr>
        <w:t xml:space="preserve">                                  </w:t>
      </w:r>
    </w:p>
    <w:p w14:paraId="233016C1">
      <w:pPr>
        <w:widowControl/>
        <w:snapToGrid w:val="0"/>
        <w:spacing w:line="360" w:lineRule="auto"/>
        <w:textAlignment w:val="baseline"/>
        <w:rPr>
          <w:rFonts w:hint="eastAsia" w:ascii="仿宋" w:hAnsi="仿宋" w:eastAsia="仿宋" w:cs="仿宋"/>
          <w:color w:val="000000" w:themeColor="text1"/>
          <w:sz w:val="28"/>
          <w:szCs w:val="28"/>
          <w:highlight w:val="none"/>
          <w14:textFill>
            <w14:solidFill>
              <w14:schemeClr w14:val="tx1"/>
            </w14:solidFill>
          </w14:textFill>
        </w:rPr>
      </w:pPr>
    </w:p>
    <w:p w14:paraId="0AB06992">
      <w:pPr>
        <w:widowControl/>
        <w:snapToGrid w:val="0"/>
        <w:spacing w:line="360" w:lineRule="auto"/>
        <w:textAlignment w:val="baseline"/>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乙方：</w:t>
      </w:r>
      <w:bookmarkEnd w:id="0"/>
      <w:r>
        <w:rPr>
          <w:rFonts w:hint="eastAsia" w:ascii="仿宋" w:hAnsi="仿宋" w:eastAsia="仿宋" w:cs="仿宋"/>
          <w:color w:val="000000" w:themeColor="text1"/>
          <w:sz w:val="28"/>
          <w:szCs w:val="28"/>
          <w:highlight w:val="none"/>
          <w:u w:val="single" w:color="000000"/>
          <w14:textFill>
            <w14:solidFill>
              <w14:schemeClr w14:val="tx1"/>
            </w14:solidFill>
          </w14:textFill>
        </w:rPr>
        <w:t xml:space="preserve">                                  </w:t>
      </w:r>
    </w:p>
    <w:p w14:paraId="2BE13CE3">
      <w:pPr>
        <w:widowControl/>
        <w:snapToGrid w:val="0"/>
        <w:spacing w:line="360" w:lineRule="auto"/>
        <w:textAlignment w:val="baseline"/>
        <w:rPr>
          <w:rFonts w:hint="eastAsia" w:ascii="仿宋" w:hAnsi="仿宋" w:eastAsia="仿宋" w:cs="仿宋"/>
          <w:color w:val="000000" w:themeColor="text1"/>
          <w:sz w:val="28"/>
          <w:szCs w:val="28"/>
          <w:highlight w:val="none"/>
          <w:u w:val="single"/>
          <w14:textFill>
            <w14:solidFill>
              <w14:schemeClr w14:val="tx1"/>
            </w14:solidFill>
          </w14:textFill>
        </w:rPr>
      </w:pPr>
    </w:p>
    <w:p w14:paraId="238CE72D">
      <w:pPr>
        <w:widowControl/>
        <w:snapToGrid w:val="0"/>
        <w:jc w:val="center"/>
        <w:textAlignment w:val="baseline"/>
        <w:rPr>
          <w:rFonts w:hint="eastAsia" w:ascii="仿宋" w:hAnsi="仿宋" w:eastAsia="仿宋" w:cs="仿宋"/>
          <w:color w:val="000000" w:themeColor="text1"/>
          <w:sz w:val="28"/>
          <w:szCs w:val="28"/>
          <w:highlight w:val="none"/>
          <w:u w:val="single"/>
          <w14:textFill>
            <w14:solidFill>
              <w14:schemeClr w14:val="tx1"/>
            </w14:solidFill>
          </w14:textFill>
        </w:rPr>
      </w:pPr>
    </w:p>
    <w:p w14:paraId="04437EBC">
      <w:pPr>
        <w:widowControl/>
        <w:snapToGrid w:val="0"/>
        <w:jc w:val="center"/>
        <w:textAlignment w:val="baseline"/>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color="000000"/>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color="000000"/>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color="000000"/>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60B5418C">
      <w:pPr>
        <w:widowControl/>
        <w:textAlignment w:val="baseline"/>
        <w:rPr>
          <w:rFonts w:hint="eastAsia" w:ascii="仿宋" w:hAnsi="仿宋" w:eastAsia="仿宋" w:cs="仿宋"/>
          <w:color w:val="000000" w:themeColor="text1"/>
          <w:szCs w:val="20"/>
          <w:highlight w:val="none"/>
          <w14:textFill>
            <w14:solidFill>
              <w14:schemeClr w14:val="tx1"/>
            </w14:solidFill>
          </w14:textFill>
        </w:rPr>
      </w:pPr>
    </w:p>
    <w:p w14:paraId="1785336C">
      <w:pPr>
        <w:snapToGrid w:val="0"/>
        <w:spacing w:before="312" w:line="480" w:lineRule="atLeast"/>
        <w:jc w:val="center"/>
        <w:textAlignment w:val="baseline"/>
        <w:rPr>
          <w:rFonts w:hint="eastAsia" w:ascii="仿宋" w:hAnsi="仿宋" w:eastAsia="仿宋" w:cs="仿宋"/>
          <w:b/>
          <w:color w:val="000000" w:themeColor="text1"/>
          <w:kern w:val="2"/>
          <w:sz w:val="36"/>
          <w:szCs w:val="36"/>
          <w:highlight w:val="none"/>
          <w:lang w:val="en-US" w:eastAsia="zh-CN" w:bidi="ar-SA"/>
          <w14:textFill>
            <w14:solidFill>
              <w14:schemeClr w14:val="tx1"/>
            </w14:solidFill>
          </w14:textFill>
        </w:rPr>
      </w:pPr>
    </w:p>
    <w:p w14:paraId="72EF37C2">
      <w:pPr>
        <w:spacing w:before="240" w:line="360" w:lineRule="auto"/>
        <w:jc w:val="center"/>
        <w:outlineLvl w:val="0"/>
        <w:rPr>
          <w:rFonts w:hint="eastAsia" w:ascii="仿宋" w:hAnsi="仿宋" w:eastAsia="仿宋" w:cs="仿宋"/>
          <w:b/>
          <w:color w:val="000000" w:themeColor="text1"/>
          <w:sz w:val="24"/>
          <w:szCs w:val="24"/>
          <w:highlight w:val="none"/>
          <w14:textFill>
            <w14:solidFill>
              <w14:schemeClr w14:val="tx1"/>
            </w14:solidFill>
          </w14:textFill>
        </w:rPr>
        <w:sectPr>
          <w:footerReference r:id="rId3" w:type="default"/>
          <w:pgSz w:w="11906" w:h="16838"/>
          <w:pgMar w:top="1440" w:right="1332" w:bottom="1440" w:left="1797" w:header="851" w:footer="992" w:gutter="0"/>
          <w:pgNumType w:fmt="decimal" w:start="1"/>
          <w:cols w:space="720" w:num="1"/>
          <w:docGrid w:linePitch="312" w:charSpace="0"/>
        </w:sectPr>
      </w:pPr>
    </w:p>
    <w:p w14:paraId="300E10AD">
      <w:pPr>
        <w:pStyle w:val="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采购人（甲方）：</w:t>
      </w:r>
    </w:p>
    <w:p w14:paraId="349D8A70">
      <w:pPr>
        <w:pStyle w:val="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供应商（乙方）：</w:t>
      </w:r>
    </w:p>
    <w:p w14:paraId="43A3C5B4">
      <w:pPr>
        <w:pStyle w:val="3"/>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4"/>
          <w:szCs w:val="24"/>
          <w:highlight w:val="none"/>
          <w:lang w:eastAsia="zh-CN"/>
          <w14:textFill>
            <w14:solidFill>
              <w14:schemeClr w14:val="tx1"/>
            </w14:solidFill>
          </w14:textFill>
        </w:rPr>
        <w:t>野生动物防护建设项目-森林资源巡护工程</w:t>
      </w:r>
      <w:r>
        <w:rPr>
          <w:rFonts w:hint="eastAsia" w:ascii="仿宋" w:hAnsi="仿宋" w:eastAsia="仿宋" w:cs="仿宋"/>
          <w:color w:val="000000" w:themeColor="text1"/>
          <w:sz w:val="24"/>
          <w:szCs w:val="24"/>
          <w:highlight w:val="none"/>
          <w14:textFill>
            <w14:solidFill>
              <w14:schemeClr w14:val="tx1"/>
            </w14:solidFill>
          </w14:textFill>
        </w:rPr>
        <w:t>（采购项目编号</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FHGJ-ZC-2026-0715</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的采购文件、响应文件等有关规定，为确保甲方采购项目的顺利实施，甲、乙双方在平等自愿原则下签订本合同，并共同遵守如下条款，其主要要求如下：</w:t>
      </w:r>
      <w:bookmarkStart w:id="86" w:name="_GoBack"/>
      <w:bookmarkEnd w:id="86"/>
    </w:p>
    <w:p w14:paraId="152F55FF">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 w:name="_Toc11438"/>
      <w:r>
        <w:rPr>
          <w:rFonts w:hint="eastAsia" w:ascii="仿宋" w:hAnsi="仿宋" w:eastAsia="仿宋" w:cs="仿宋"/>
          <w:b/>
          <w:color w:val="000000" w:themeColor="text1"/>
          <w:sz w:val="24"/>
          <w:szCs w:val="24"/>
          <w:highlight w:val="none"/>
          <w14:textFill>
            <w14:solidFill>
              <w14:schemeClr w14:val="tx1"/>
            </w14:solidFill>
          </w14:textFill>
        </w:rPr>
        <w:t>第一条  项目基本情况</w:t>
      </w:r>
      <w:bookmarkEnd w:id="1"/>
    </w:p>
    <w:p w14:paraId="1D3E4A7D">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 w:name="_Toc24394"/>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为加强保护区国有林区森林资源的管护工作，确保森林资源安全，健全生态护林员队伍建设，有效保护森林资源安全，按照区域林业资源现状和保护重点招聘专职管护人员，完善森林资源管护工作体系，增加保护区内6个保护站及2个检查站的管护力量，管护人员协助开展林区日常巡护、防火、值守等工作。</w:t>
      </w:r>
    </w:p>
    <w:p w14:paraId="25B9A8B0">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第二条  服务期限</w:t>
      </w:r>
      <w:bookmarkEnd w:id="2"/>
    </w:p>
    <w:p w14:paraId="14B7600C">
      <w:pPr>
        <w:keepNext w:val="0"/>
        <w:keepLines w:val="0"/>
        <w:pageBreakBefore w:val="0"/>
        <w:widowControl/>
        <w:tabs>
          <w:tab w:val="left" w:pos="387"/>
        </w:tabs>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val="0"/>
          <w:bCs/>
          <w:color w:val="000000" w:themeColor="text1"/>
          <w:sz w:val="24"/>
          <w:szCs w:val="24"/>
          <w:highlight w:val="none"/>
          <w:lang w:eastAsia="zh-CN"/>
          <w14:textFill>
            <w14:solidFill>
              <w14:schemeClr w14:val="tx1"/>
            </w14:solidFill>
          </w14:textFill>
        </w:rPr>
      </w:pPr>
      <w:bookmarkStart w:id="3" w:name="_Toc2407"/>
      <w:bookmarkStart w:id="4" w:name="_Toc238984975"/>
      <w:bookmarkStart w:id="5" w:name="_Toc237145406"/>
      <w:bookmarkStart w:id="6" w:name="_Toc283019214"/>
      <w:bookmarkStart w:id="7" w:name="_Toc225670751"/>
      <w:bookmarkStart w:id="8" w:name="_Toc247334841"/>
      <w:bookmarkStart w:id="9" w:name="_Toc286993786"/>
      <w:bookmarkStart w:id="10" w:name="_Toc239233914"/>
      <w:bookmarkStart w:id="11" w:name="_Toc211854449"/>
      <w:bookmarkStart w:id="12" w:name="_Toc239568418"/>
      <w:bookmarkStart w:id="13" w:name="_Toc282696226"/>
      <w:bookmarkStart w:id="14" w:name="_Toc225654644"/>
      <w:bookmarkStart w:id="15" w:name="_Toc225244852"/>
      <w:bookmarkStart w:id="16" w:name="_Toc251768862"/>
      <w:bookmarkStart w:id="17" w:name="_Toc232492928"/>
      <w:bookmarkStart w:id="18" w:name="_Toc212019594"/>
      <w:bookmarkStart w:id="19" w:name="_Toc241833903"/>
      <w:bookmarkStart w:id="20" w:name="_Toc211911348"/>
      <w:bookmarkStart w:id="21" w:name="_Toc185395249"/>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服务期12个月。</w:t>
      </w:r>
    </w:p>
    <w:p w14:paraId="0300DE76">
      <w:pPr>
        <w:keepNext w:val="0"/>
        <w:keepLines w:val="0"/>
        <w:pageBreakBefore w:val="0"/>
        <w:widowControl/>
        <w:tabs>
          <w:tab w:val="left" w:pos="387"/>
        </w:tabs>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第三条  服务内容</w:t>
      </w:r>
      <w:bookmarkEnd w:id="3"/>
    </w:p>
    <w:p w14:paraId="50AEC891">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2" w:name="_Toc20078"/>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供应商须组织持续保持在岗专职管护人员20名，在一年管护期内，协助陕西周至国家级自然保护区管理局基层站，完成以下工作：</w:t>
      </w:r>
    </w:p>
    <w:p w14:paraId="65CDB0B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1.进村入户宣传《森林法》《森林防火条例》、野生动植物保护法规；在进山路口开展防火宣传、火源劝导。</w:t>
      </w:r>
    </w:p>
    <w:p w14:paraId="3183EB6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2.按照采购方划定责任片区开展巡山，规范开展巡护工作，巡查制止乱砍滥伐、非法开垦、采石挖沙、违规占用林地；发现乱捕滥猎、非法采挖野生植物线索立即上报，配合现场取证；配合林政执法、调查、无人机地面核查、各类专项行动，完成采购方临时下达生态管护任务。</w:t>
      </w:r>
    </w:p>
    <w:p w14:paraId="7B104FB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3.开展森林防灭火工作，防火重点时段加密巡护频次，排查林区野外用火隐患，劝阻违规野外用火；发现森林火情第一时间上报采购方，配合开展初期火情处置；看护防火宣传牌、防火通道、防火围栏等设施。</w:t>
      </w:r>
    </w:p>
    <w:p w14:paraId="1119D97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4.开展林业有害生物监测巡查，监测松材线虫病、各类林木病虫害，及时上报异常灾害点位；管护森林资源保护设施。</w:t>
      </w:r>
    </w:p>
    <w:p w14:paraId="0622D038">
      <w:pPr>
        <w:keepNext w:val="0"/>
        <w:keepLines w:val="0"/>
        <w:pageBreakBefore w:val="0"/>
        <w:widowControl/>
        <w:tabs>
          <w:tab w:val="left" w:pos="387"/>
        </w:tabs>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000000" w:themeColor="text1"/>
          <w:sz w:val="24"/>
          <w:szCs w:val="24"/>
          <w:highlight w:val="none"/>
          <w:lang w:eastAsia="zh-CN"/>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条  服务</w:t>
      </w:r>
      <w:r>
        <w:rPr>
          <w:rFonts w:hint="eastAsia" w:ascii="仿宋" w:hAnsi="仿宋" w:eastAsia="仿宋" w:cs="仿宋"/>
          <w:b/>
          <w:color w:val="000000" w:themeColor="text1"/>
          <w:sz w:val="24"/>
          <w:szCs w:val="24"/>
          <w:highlight w:val="none"/>
          <w:lang w:val="en-US" w:eastAsia="zh-CN"/>
          <w14:textFill>
            <w14:solidFill>
              <w14:schemeClr w14:val="tx1"/>
            </w14:solidFill>
          </w14:textFill>
        </w:rPr>
        <w:t>要求</w:t>
      </w:r>
    </w:p>
    <w:p w14:paraId="7F7EE8C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（一）承诺为本项目管护人员足额购买社保、统一投保高额人身意外伤害保险。</w:t>
      </w:r>
    </w:p>
    <w:p w14:paraId="25AD785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（二）管护人员准入标准</w:t>
      </w:r>
    </w:p>
    <w:p w14:paraId="67ADF87E">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1.年龄18—50周岁，身体健康，无心脏病、高血压等不适宜野外爬山作业疾病，除经采购方书面同意的特殊情形外，原则应具备大专以上学历；</w:t>
      </w:r>
    </w:p>
    <w:p w14:paraId="7AB32997">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2.无违法犯罪记录；长期居住管护区域周边，熟悉山情林情；</w:t>
      </w:r>
    </w:p>
    <w:p w14:paraId="78287ED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3.能够熟练使用智能手机巡护APP、定位打卡；服从统一调度；</w:t>
      </w:r>
    </w:p>
    <w:p w14:paraId="128241D7">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4.同等条件优先录用本地居民、退伍军人、原有优秀护林人员。</w:t>
      </w:r>
    </w:p>
    <w:p w14:paraId="514E22C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（三）人员管理约束</w:t>
      </w:r>
    </w:p>
    <w:p w14:paraId="5B5A785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3" w:name="auto_fouce_19"/>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管护人员名单报采购方备案；供应商更换管护人员的，须提前至少7日书面报备，更换后的新人员必须符合本合同约定的准入标准；采购方有权对不符合要求人员提出退回更换，提出退回更换的，供应商必须在5日内完成并重新报备，确保服务不间断；供应商未在5日内完成不符合要求人员更换的，每逾期1日，甲方有权扣除合同总金额千分之一的服务费；逾期超过7日的，甲方有权单方解除合同；采购方不与管护人员建立劳动关系，所有劳资纠纷、工伤赔偿、社保补缴、行政处罚等全部用工相关法律责任与费用风险由中标服务商承担，如因供应商用工问题导致采购方被追究责任或产生任何费用、损失的，采购方有权向其全额追偿，供应商应当赔偿采购方因此遭受的全部损失（包括律师费、诉讼费等）。</w:t>
      </w:r>
      <w:bookmarkEnd w:id="23"/>
    </w:p>
    <w:p w14:paraId="103C1682">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bCs/>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b/>
          <w:bCs/>
          <w:snapToGrid w:val="0"/>
          <w:color w:val="000000" w:themeColor="text1"/>
          <w:kern w:val="0"/>
          <w:sz w:val="24"/>
          <w:szCs w:val="24"/>
          <w:highlight w:val="none"/>
          <w:lang w:val="en-US" w:eastAsia="zh-CN" w:bidi="ar-SA"/>
          <w14:textFill>
            <w14:solidFill>
              <w14:schemeClr w14:val="tx1"/>
            </w14:solidFill>
          </w14:textFill>
        </w:rPr>
        <w:t>第五条  服务费用及支付方式</w:t>
      </w:r>
      <w:bookmarkEnd w:id="22"/>
    </w:p>
    <w:p w14:paraId="28C1947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4" w:name="auto_fouce_20"/>
      <w:bookmarkStart w:id="25" w:name="_Toc22959"/>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1、服务费支付价款</w:t>
      </w:r>
    </w:p>
    <w:p w14:paraId="3AF357A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6" w:name="tip_risk_bookmark_21"/>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服务总费用为人民币（大写）：</w:t>
      </w:r>
      <w:r>
        <w:rPr>
          <w:rFonts w:hint="eastAsia" w:ascii="仿宋" w:hAnsi="仿宋" w:eastAsia="仿宋" w:cs="仿宋"/>
          <w:snapToGrid w:val="0"/>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元，￥</w:t>
      </w:r>
      <w:r>
        <w:rPr>
          <w:rFonts w:hint="eastAsia" w:ascii="仿宋" w:hAnsi="仿宋" w:eastAsia="仿宋" w:cs="仿宋"/>
          <w:snapToGrid w:val="0"/>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w:t>
      </w:r>
      <w:bookmarkEnd w:id="26"/>
    </w:p>
    <w:p w14:paraId="0FC2C8E6">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val="0"/>
          <w:bCs w:val="0"/>
          <w:snapToGrid w:val="0"/>
          <w:color w:val="auto"/>
          <w:kern w:val="0"/>
          <w:sz w:val="24"/>
          <w:szCs w:val="24"/>
          <w:highlight w:val="none"/>
          <w:lang w:val="en-US" w:eastAsia="zh-CN" w:bidi="ar-SA"/>
        </w:rPr>
      </w:pPr>
      <w:r>
        <w:rPr>
          <w:rFonts w:hint="eastAsia" w:ascii="仿宋" w:hAnsi="仿宋" w:eastAsia="仿宋" w:cs="仿宋"/>
          <w:b w:val="0"/>
          <w:bCs w:val="0"/>
          <w:snapToGrid w:val="0"/>
          <w:color w:val="auto"/>
          <w:kern w:val="0"/>
          <w:sz w:val="24"/>
          <w:szCs w:val="24"/>
          <w:highlight w:val="none"/>
          <w:lang w:val="en-US" w:eastAsia="zh-CN" w:bidi="ar-SA"/>
        </w:rPr>
        <w:t>支付方式：合同签订后，中标服务商向采购人开具合法有效的等额增值税发票（或税务发票），采购人在收到上述发票之日起15个工作日内向中标服务商支付合同总金额的50%。剩余50%款于2026年11月底前支付完毕。</w:t>
      </w:r>
      <w:bookmarkEnd w:id="24"/>
    </w:p>
    <w:p w14:paraId="205AA84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val="0"/>
          <w:bCs w:val="0"/>
          <w:snapToGrid w:val="0"/>
          <w:color w:val="auto"/>
          <w:kern w:val="0"/>
          <w:sz w:val="24"/>
          <w:szCs w:val="24"/>
          <w:highlight w:val="none"/>
          <w:lang w:val="en-US" w:eastAsia="zh-CN" w:bidi="ar-SA"/>
        </w:rPr>
      </w:pPr>
      <w:r>
        <w:rPr>
          <w:rFonts w:hint="eastAsia" w:ascii="仿宋" w:hAnsi="仿宋" w:eastAsia="仿宋" w:cs="仿宋"/>
          <w:b w:val="0"/>
          <w:bCs w:val="0"/>
          <w:snapToGrid w:val="0"/>
          <w:color w:val="auto"/>
          <w:kern w:val="0"/>
          <w:sz w:val="24"/>
          <w:szCs w:val="24"/>
          <w:highlight w:val="none"/>
          <w:lang w:val="en-US" w:eastAsia="zh-CN" w:bidi="ar-SA"/>
        </w:rPr>
        <w:t>3、结算方式：银行转账</w:t>
      </w:r>
    </w:p>
    <w:p w14:paraId="47BCD0C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bookmarkStart w:id="27" w:name="tip_risk_bookmark_22"/>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4、乙方收款账户</w:t>
      </w:r>
    </w:p>
    <w:p w14:paraId="4B2D1C0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 xml:space="preserve">账户名称：    </w:t>
      </w:r>
    </w:p>
    <w:p w14:paraId="7AE6A61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 xml:space="preserve">开户银行：                   </w:t>
      </w:r>
    </w:p>
    <w:p w14:paraId="32D61B1D">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银行账号：</w:t>
      </w:r>
      <w:bookmarkEnd w:id="27"/>
      <w:r>
        <w:rPr>
          <w:rFonts w:hint="eastAsia" w:ascii="仿宋" w:hAnsi="仿宋" w:eastAsia="仿宋" w:cs="仿宋"/>
          <w:snapToGrid w:val="0"/>
          <w:color w:val="000000" w:themeColor="text1"/>
          <w:kern w:val="0"/>
          <w:sz w:val="24"/>
          <w:szCs w:val="24"/>
          <w:highlight w:val="none"/>
          <w:lang w:val="en-US" w:eastAsia="zh-CN" w:bidi="ar-SA"/>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14:textFill>
            <w14:solidFill>
              <w14:schemeClr w14:val="tx1"/>
            </w14:solidFill>
          </w14:textFill>
        </w:rPr>
        <w:t xml:space="preserve">               </w:t>
      </w:r>
    </w:p>
    <w:p w14:paraId="066D2754">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六</w:t>
      </w:r>
      <w:r>
        <w:rPr>
          <w:rFonts w:hint="eastAsia" w:ascii="仿宋" w:hAnsi="仿宋" w:eastAsia="仿宋" w:cs="仿宋"/>
          <w:b/>
          <w:color w:val="000000" w:themeColor="text1"/>
          <w:sz w:val="24"/>
          <w:szCs w:val="24"/>
          <w:highlight w:val="none"/>
          <w14:textFill>
            <w14:solidFill>
              <w14:schemeClr w14:val="tx1"/>
            </w14:solidFill>
          </w14:textFill>
        </w:rPr>
        <w:t>条  知识产权（若有）</w:t>
      </w:r>
      <w:bookmarkEnd w:id="25"/>
    </w:p>
    <w:p w14:paraId="454AB19B">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乙方应保证所提供的服务或其任何一部分均不会侵犯任何第三方的专利权、商标权或著作权。</w:t>
      </w:r>
    </w:p>
    <w:p w14:paraId="7BE7C356">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8" w:name="_Toc31647"/>
      <w:r>
        <w:rPr>
          <w:rFonts w:hint="eastAsia" w:ascii="仿宋" w:hAnsi="仿宋" w:eastAsia="仿宋" w:cs="仿宋"/>
          <w:b/>
          <w:color w:val="000000" w:themeColor="text1"/>
          <w:sz w:val="24"/>
          <w:szCs w:val="24"/>
          <w:highlight w:val="none"/>
          <w14:textFill>
            <w14:solidFill>
              <w14:schemeClr w14:val="tx1"/>
            </w14:solidFill>
          </w14:textFill>
        </w:rPr>
        <w:t>第七条  无产权瑕疵条款（如有）</w:t>
      </w:r>
      <w:bookmarkEnd w:id="28"/>
    </w:p>
    <w:p w14:paraId="5AE2D331">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1BFB8E2B">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9" w:name="_Toc4779"/>
      <w:bookmarkStart w:id="30" w:name="tip_risk_bookmark_23"/>
      <w:bookmarkStart w:id="31" w:name="tip_risk_bookmark_24"/>
      <w:r>
        <w:rPr>
          <w:rFonts w:hint="eastAsia" w:ascii="仿宋" w:hAnsi="仿宋" w:eastAsia="仿宋" w:cs="仿宋"/>
          <w:b/>
          <w:color w:val="000000" w:themeColor="text1"/>
          <w:sz w:val="24"/>
          <w:szCs w:val="24"/>
          <w:highlight w:val="none"/>
          <w14:textFill>
            <w14:solidFill>
              <w14:schemeClr w14:val="tx1"/>
            </w14:solidFill>
          </w14:textFill>
        </w:rPr>
        <w:t>第八条  履约保证金（如有）</w:t>
      </w:r>
      <w:bookmarkEnd w:id="29"/>
    </w:p>
    <w:p w14:paraId="78ACC3EE">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
          <w:color w:val="000000" w:themeColor="text1"/>
          <w:sz w:val="24"/>
          <w:szCs w:val="24"/>
          <w:highlight w:val="none"/>
          <w14:textFill>
            <w14:solidFill>
              <w14:schemeClr w14:val="tx1"/>
            </w14:solidFill>
          </w14:textFill>
        </w:rPr>
      </w:pPr>
      <w:bookmarkStart w:id="32" w:name="tip_risk_bookmark_25"/>
      <w:r>
        <w:rPr>
          <w:rFonts w:hint="eastAsia" w:ascii="仿宋" w:hAnsi="仿宋" w:eastAsia="仿宋" w:cs="仿宋"/>
          <w:color w:val="000000" w:themeColor="text1"/>
          <w:kern w:val="0"/>
          <w:sz w:val="24"/>
          <w:szCs w:val="24"/>
          <w:highlight w:val="none"/>
          <w14:textFill>
            <w14:solidFill>
              <w14:schemeClr w14:val="tx1"/>
            </w14:solidFill>
          </w14:textFill>
        </w:rPr>
        <w:t>1.乙方在签订本合同之前，向</w:t>
      </w:r>
      <w:r>
        <w:rPr>
          <w:rFonts w:hint="eastAsia" w:ascii="仿宋" w:hAnsi="仿宋" w:eastAsia="仿宋" w:cs="仿宋"/>
          <w:color w:val="000000" w:themeColor="text1"/>
          <w:kern w:val="0"/>
          <w:sz w:val="24"/>
          <w:szCs w:val="24"/>
          <w:highlight w:val="none"/>
          <w:lang w:eastAsia="zh-CN"/>
          <w14:textFill>
            <w14:solidFill>
              <w14:schemeClr w14:val="tx1"/>
            </w14:solidFill>
          </w14:textFill>
        </w:rPr>
        <w:t>甲方</w:t>
      </w:r>
      <w:r>
        <w:rPr>
          <w:rFonts w:hint="eastAsia" w:ascii="仿宋" w:hAnsi="仿宋" w:eastAsia="仿宋" w:cs="仿宋"/>
          <w:color w:val="000000" w:themeColor="text1"/>
          <w:kern w:val="0"/>
          <w:sz w:val="24"/>
          <w:szCs w:val="24"/>
          <w:highlight w:val="none"/>
          <w14:textFill>
            <w14:solidFill>
              <w14:schemeClr w14:val="tx1"/>
            </w14:solidFill>
          </w14:textFill>
        </w:rPr>
        <w:t>提交履约保证金人民币</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元，</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w:t>
      </w:r>
      <w:bookmarkEnd w:id="32"/>
    </w:p>
    <w:p w14:paraId="18CFA07D">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2.</w:t>
      </w:r>
      <w:r>
        <w:rPr>
          <w:rFonts w:hint="eastAsia" w:ascii="仿宋" w:hAnsi="仿宋" w:eastAsia="仿宋" w:cs="仿宋"/>
          <w:color w:val="000000" w:themeColor="text1"/>
          <w:kern w:val="0"/>
          <w:sz w:val="24"/>
          <w:szCs w:val="24"/>
          <w:highlight w:val="none"/>
          <w14:textFill>
            <w14:solidFill>
              <w14:schemeClr w14:val="tx1"/>
            </w14:solidFill>
          </w14:textFill>
        </w:rPr>
        <w:t>履约保证金的有效期为乙方承诺的服务期限。</w:t>
      </w:r>
    </w:p>
    <w:p w14:paraId="5D3F0B4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3.履约保证金作为违约金的</w:t>
      </w:r>
      <w:r>
        <w:rPr>
          <w:rFonts w:hint="eastAsia" w:ascii="仿宋" w:hAnsi="仿宋" w:eastAsia="仿宋" w:cs="仿宋"/>
          <w:bCs/>
          <w:color w:val="000000" w:themeColor="text1"/>
          <w:sz w:val="24"/>
          <w:szCs w:val="24"/>
          <w:highlight w:val="none"/>
          <w:lang w:eastAsia="zh-CN"/>
          <w14:textFill>
            <w14:solidFill>
              <w14:schemeClr w14:val="tx1"/>
            </w14:solidFill>
          </w14:textFill>
        </w:rPr>
        <w:t>一部分</w:t>
      </w:r>
      <w:r>
        <w:rPr>
          <w:rFonts w:hint="eastAsia" w:ascii="仿宋" w:hAnsi="仿宋" w:eastAsia="仿宋" w:cs="仿宋"/>
          <w:bCs/>
          <w:color w:val="000000" w:themeColor="text1"/>
          <w:sz w:val="24"/>
          <w:szCs w:val="24"/>
          <w:highlight w:val="none"/>
          <w14:textFill>
            <w14:solidFill>
              <w14:schemeClr w14:val="tx1"/>
            </w14:solidFill>
          </w14:textFill>
        </w:rPr>
        <w:t>用于补偿甲方因乙方不能履行合同义务而蒙受的损失。</w:t>
      </w:r>
    </w:p>
    <w:p w14:paraId="036F9F90">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000000" w:themeColor="text1"/>
          <w:sz w:val="24"/>
          <w:szCs w:val="24"/>
          <w:highlight w:val="none"/>
          <w14:textFill>
            <w14:solidFill>
              <w14:schemeClr w14:val="tx1"/>
            </w14:solidFill>
          </w14:textFill>
        </w:rPr>
      </w:pPr>
      <w:bookmarkStart w:id="33" w:name="tip_risk_bookmark_26"/>
      <w:r>
        <w:rPr>
          <w:rFonts w:hint="eastAsia" w:ascii="仿宋" w:hAnsi="仿宋" w:eastAsia="仿宋" w:cs="仿宋"/>
          <w:color w:val="000000" w:themeColor="text1"/>
          <w:kern w:val="0"/>
          <w:sz w:val="24"/>
          <w:szCs w:val="24"/>
          <w:highlight w:val="none"/>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服务期限结束后，甲方财务部门接到甲方确认本合同服务等约定事项已经履行完毕的正式书面文件后的</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日内，向乙方退还履约保证金。</w:t>
      </w:r>
      <w:bookmarkEnd w:id="30"/>
      <w:bookmarkEnd w:id="33"/>
    </w:p>
    <w:p w14:paraId="6C2FCB3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5.乙方可以履约担保函的形式交纳履约保证金。</w:t>
      </w:r>
      <w:bookmarkEnd w:id="31"/>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6D92CF">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34" w:name="_Toc16162"/>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b/>
          <w:color w:val="000000" w:themeColor="text1"/>
          <w:sz w:val="24"/>
          <w:szCs w:val="24"/>
          <w:highlight w:val="none"/>
          <w14:textFill>
            <w14:solidFill>
              <w14:schemeClr w14:val="tx1"/>
            </w14:solidFill>
          </w14:textFill>
        </w:rPr>
        <w:t>条  甲方的权利和义务</w:t>
      </w:r>
      <w:bookmarkEnd w:id="34"/>
    </w:p>
    <w:p w14:paraId="10880946">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0EB8B07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2.负责检查监督乙方管理工作的实施及制度的执行情况。</w:t>
      </w:r>
    </w:p>
    <w:p w14:paraId="5B4D8C4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3.根据本合同规定，按时向乙方支付应付服务费用。</w:t>
      </w:r>
    </w:p>
    <w:p w14:paraId="285991C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4.国家</w:t>
      </w:r>
      <w:r>
        <w:rPr>
          <w:rFonts w:hint="eastAsia" w:ascii="仿宋" w:hAnsi="仿宋" w:eastAsia="仿宋" w:cs="仿宋"/>
          <w:bCs/>
          <w:color w:val="000000" w:themeColor="text1"/>
          <w:sz w:val="24"/>
          <w:szCs w:val="24"/>
          <w:highlight w:val="none"/>
          <w:lang w:eastAsia="zh-CN"/>
          <w14:textFill>
            <w14:solidFill>
              <w14:schemeClr w14:val="tx1"/>
            </w14:solidFill>
          </w14:textFill>
        </w:rPr>
        <w:t>法律法规</w:t>
      </w:r>
      <w:r>
        <w:rPr>
          <w:rFonts w:hint="eastAsia" w:ascii="仿宋" w:hAnsi="仿宋" w:eastAsia="仿宋" w:cs="仿宋"/>
          <w:bCs/>
          <w:color w:val="000000" w:themeColor="text1"/>
          <w:sz w:val="24"/>
          <w:szCs w:val="24"/>
          <w:highlight w:val="none"/>
          <w14:textFill>
            <w14:solidFill>
              <w14:schemeClr w14:val="tx1"/>
            </w14:solidFill>
          </w14:textFill>
        </w:rPr>
        <w:t>所规定由甲方承担的</w:t>
      </w:r>
      <w:r>
        <w:rPr>
          <w:rFonts w:hint="eastAsia" w:ascii="仿宋" w:hAnsi="仿宋" w:eastAsia="仿宋" w:cs="仿宋"/>
          <w:bCs/>
          <w:color w:val="000000" w:themeColor="text1"/>
          <w:sz w:val="24"/>
          <w:szCs w:val="24"/>
          <w:highlight w:val="none"/>
          <w:lang w:eastAsia="zh-CN"/>
          <w14:textFill>
            <w14:solidFill>
              <w14:schemeClr w14:val="tx1"/>
            </w14:solidFill>
          </w14:textFill>
        </w:rPr>
        <w:t>其他</w:t>
      </w:r>
      <w:r>
        <w:rPr>
          <w:rFonts w:hint="eastAsia" w:ascii="仿宋" w:hAnsi="仿宋" w:eastAsia="仿宋" w:cs="仿宋"/>
          <w:bCs/>
          <w:color w:val="000000" w:themeColor="text1"/>
          <w:sz w:val="24"/>
          <w:szCs w:val="24"/>
          <w:highlight w:val="none"/>
          <w14:textFill>
            <w14:solidFill>
              <w14:schemeClr w14:val="tx1"/>
            </w14:solidFill>
          </w14:textFill>
        </w:rPr>
        <w:t>责任。</w:t>
      </w:r>
    </w:p>
    <w:p w14:paraId="20822C59">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35" w:name="_Toc27740"/>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十</w:t>
      </w:r>
      <w:r>
        <w:rPr>
          <w:rFonts w:hint="eastAsia" w:ascii="仿宋" w:hAnsi="仿宋" w:eastAsia="仿宋" w:cs="仿宋"/>
          <w:b/>
          <w:color w:val="000000" w:themeColor="text1"/>
          <w:sz w:val="24"/>
          <w:szCs w:val="24"/>
          <w:highlight w:val="none"/>
          <w14:textFill>
            <w14:solidFill>
              <w14:schemeClr w14:val="tx1"/>
            </w14:solidFill>
          </w14:textFill>
        </w:rPr>
        <w:t>条  乙方的权利和义务</w:t>
      </w:r>
      <w:bookmarkEnd w:id="35"/>
    </w:p>
    <w:p w14:paraId="590F7DD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1.对本合同规定的委托服务范围内的项目享有管理权及服务义务。</w:t>
      </w:r>
    </w:p>
    <w:p w14:paraId="597F47A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2.根据本合同的规定向甲方收取相关服务费用，并有权在本项目管理范围内管理及合理使用。</w:t>
      </w:r>
    </w:p>
    <w:p w14:paraId="4101A12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3.及时向甲方通告本项目服务范围内有关服务的重大事项，及时配合处理投诉。</w:t>
      </w:r>
    </w:p>
    <w:p w14:paraId="231DE59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w:t>
      </w:r>
      <w:r>
        <w:rPr>
          <w:rFonts w:hint="eastAsia" w:ascii="仿宋" w:hAnsi="仿宋" w:eastAsia="仿宋" w:cs="仿宋"/>
          <w:bCs/>
          <w:color w:val="000000" w:themeColor="text1"/>
          <w:sz w:val="24"/>
          <w:szCs w:val="24"/>
          <w:highlight w:val="none"/>
          <w14:textFill>
            <w14:solidFill>
              <w14:schemeClr w14:val="tx1"/>
            </w14:solidFill>
          </w14:textFill>
        </w:rPr>
        <w:t>接受项目行业管理部门及政府有关部门的指导，接受甲方的监督。</w:t>
      </w:r>
    </w:p>
    <w:p w14:paraId="3950BF9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lang w:eastAsia="zh-CN"/>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5.国家</w:t>
      </w:r>
      <w:r>
        <w:rPr>
          <w:rFonts w:hint="eastAsia" w:ascii="仿宋" w:hAnsi="仿宋" w:eastAsia="仿宋" w:cs="仿宋"/>
          <w:bCs/>
          <w:color w:val="000000" w:themeColor="text1"/>
          <w:sz w:val="24"/>
          <w:szCs w:val="24"/>
          <w:highlight w:val="none"/>
          <w:lang w:eastAsia="zh-CN"/>
          <w14:textFill>
            <w14:solidFill>
              <w14:schemeClr w14:val="tx1"/>
            </w14:solidFill>
          </w14:textFill>
        </w:rPr>
        <w:t>法律法规</w:t>
      </w:r>
      <w:r>
        <w:rPr>
          <w:rFonts w:hint="eastAsia" w:ascii="仿宋" w:hAnsi="仿宋" w:eastAsia="仿宋" w:cs="仿宋"/>
          <w:bCs/>
          <w:color w:val="000000" w:themeColor="text1"/>
          <w:sz w:val="24"/>
          <w:szCs w:val="24"/>
          <w:highlight w:val="none"/>
          <w14:textFill>
            <w14:solidFill>
              <w14:schemeClr w14:val="tx1"/>
            </w14:solidFill>
          </w14:textFill>
        </w:rPr>
        <w:t>所规定由乙方承担的</w:t>
      </w:r>
      <w:r>
        <w:rPr>
          <w:rFonts w:hint="eastAsia" w:ascii="仿宋" w:hAnsi="仿宋" w:eastAsia="仿宋" w:cs="仿宋"/>
          <w:bCs/>
          <w:color w:val="000000" w:themeColor="text1"/>
          <w:sz w:val="24"/>
          <w:szCs w:val="24"/>
          <w:highlight w:val="none"/>
          <w:lang w:eastAsia="zh-CN"/>
          <w14:textFill>
            <w14:solidFill>
              <w14:schemeClr w14:val="tx1"/>
            </w14:solidFill>
          </w14:textFill>
        </w:rPr>
        <w:t>其他</w:t>
      </w:r>
      <w:r>
        <w:rPr>
          <w:rFonts w:hint="eastAsia" w:ascii="仿宋" w:hAnsi="仿宋" w:eastAsia="仿宋" w:cs="仿宋"/>
          <w:bCs/>
          <w:color w:val="000000" w:themeColor="text1"/>
          <w:sz w:val="24"/>
          <w:szCs w:val="24"/>
          <w:highlight w:val="none"/>
          <w14:textFill>
            <w14:solidFill>
              <w14:schemeClr w14:val="tx1"/>
            </w14:solidFill>
          </w14:textFill>
        </w:rPr>
        <w:t>责任。</w:t>
      </w:r>
      <w:bookmarkStart w:id="36" w:name="auto_fouce_27"/>
    </w:p>
    <w:p w14:paraId="6A6FC40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lang w:eastAsia="zh-CN"/>
          <w14:textFill>
            <w14:solidFill>
              <w14:schemeClr w14:val="tx1"/>
            </w14:solidFill>
          </w14:textFill>
        </w:rPr>
      </w:pPr>
      <w:r>
        <w:rPr>
          <w:rFonts w:hint="eastAsia" w:ascii="仿宋" w:hAnsi="仿宋" w:eastAsia="仿宋" w:cs="仿宋"/>
          <w:bCs/>
          <w:color w:val="000000" w:themeColor="text1"/>
          <w:sz w:val="24"/>
          <w:szCs w:val="24"/>
          <w:highlight w:val="none"/>
          <w:lang w:eastAsia="zh-CN"/>
          <w14:textFill>
            <w14:solidFill>
              <w14:schemeClr w14:val="tx1"/>
            </w14:solidFill>
          </w14:textFill>
        </w:rPr>
        <w:t>乙方需每月向甲方报送管护人员在岗情况、巡护工作台账、异常事件处理记录，甲方有权不定期对管护人员在岗情况、巡护任务完成情况进行抽查。</w:t>
      </w:r>
      <w:bookmarkEnd w:id="36"/>
    </w:p>
    <w:p w14:paraId="5182B34F">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37" w:name="_Toc25988"/>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条  违约责任</w:t>
      </w:r>
      <w:bookmarkEnd w:id="37"/>
    </w:p>
    <w:p w14:paraId="5448655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14:textFill>
            <w14:solidFill>
              <w14:schemeClr w14:val="tx1"/>
            </w14:solidFill>
          </w14:textFill>
        </w:rPr>
      </w:pPr>
      <w:bookmarkStart w:id="38" w:name="tip_risk_bookmark_28"/>
      <w:bookmarkStart w:id="39" w:name="auto_fouce_29"/>
      <w:r>
        <w:rPr>
          <w:rFonts w:hint="eastAsia" w:ascii="仿宋" w:hAnsi="仿宋" w:eastAsia="仿宋" w:cs="仿宋"/>
          <w:bCs/>
          <w:color w:val="000000" w:themeColor="text1"/>
          <w:sz w:val="24"/>
          <w:szCs w:val="24"/>
          <w:highlight w:val="none"/>
          <w14:textFill>
            <w14:solidFill>
              <w14:schemeClr w14:val="tx1"/>
            </w14:solidFill>
          </w14:textFill>
        </w:rPr>
        <w:t>1.甲乙双方必须遵守本合同并执行合同中的各项规定，保证本合同的正常履行。</w:t>
      </w:r>
      <w:bookmarkEnd w:id="38"/>
    </w:p>
    <w:p w14:paraId="07A921E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lang w:eastAsia="zh-CN"/>
          <w14:textFill>
            <w14:solidFill>
              <w14:schemeClr w14:val="tx1"/>
            </w14:solidFill>
          </w14:textFill>
        </w:rPr>
      </w:pPr>
      <w:bookmarkStart w:id="40" w:name="auto_fouce_30"/>
      <w:r>
        <w:rPr>
          <w:rFonts w:hint="eastAsia" w:ascii="仿宋" w:hAnsi="仿宋" w:eastAsia="仿宋" w:cs="仿宋"/>
          <w:bCs/>
          <w:color w:val="000000" w:themeColor="text1"/>
          <w:sz w:val="24"/>
          <w:szCs w:val="24"/>
          <w:highlight w:val="none"/>
          <w14:textFill>
            <w14:solidFill>
              <w14:schemeClr w14:val="tx1"/>
            </w14:solidFill>
          </w14:textFill>
        </w:rPr>
        <w:t>2.如因乙方工作人员在履行职务过程中</w:t>
      </w:r>
      <w:r>
        <w:rPr>
          <w:rFonts w:hint="eastAsia" w:ascii="仿宋" w:hAnsi="仿宋" w:eastAsia="仿宋" w:cs="仿宋"/>
          <w:bCs/>
          <w:color w:val="000000" w:themeColor="text1"/>
          <w:sz w:val="24"/>
          <w:szCs w:val="24"/>
          <w:highlight w:val="none"/>
          <w:lang w:eastAsia="zh-CN"/>
          <w14:textFill>
            <w14:solidFill>
              <w14:schemeClr w14:val="tx1"/>
            </w14:solidFill>
          </w14:textFill>
        </w:rPr>
        <w:t>的</w:t>
      </w:r>
      <w:r>
        <w:rPr>
          <w:rFonts w:hint="eastAsia" w:ascii="仿宋" w:hAnsi="仿宋" w:eastAsia="仿宋" w:cs="仿宋"/>
          <w:bCs/>
          <w:color w:val="000000" w:themeColor="text1"/>
          <w:sz w:val="24"/>
          <w:szCs w:val="24"/>
          <w:highlight w:val="none"/>
          <w14:textFill>
            <w14:solidFill>
              <w14:schemeClr w14:val="tx1"/>
            </w14:solidFill>
          </w14:textFill>
        </w:rPr>
        <w:t>疏忽、失职、过错等故意或者过失原因给甲方造成损失或侵害，包括但不限于甲方本身的财产损失、由此而导致的甲方对任何第三方的法律责任等，乙方对此均应承担全部赔偿责任。</w:t>
      </w:r>
      <w:r>
        <w:rPr>
          <w:rFonts w:hint="eastAsia" w:ascii="仿宋" w:hAnsi="仿宋" w:eastAsia="仿宋" w:cs="仿宋"/>
          <w:bCs/>
          <w:color w:val="000000" w:themeColor="text1"/>
          <w:sz w:val="24"/>
          <w:szCs w:val="24"/>
          <w:highlight w:val="none"/>
          <w:lang w:eastAsia="zh-CN"/>
          <w14:textFill>
            <w14:solidFill>
              <w14:schemeClr w14:val="tx1"/>
            </w14:solidFill>
          </w14:textFill>
        </w:rPr>
        <w:t>前述损失包括甲方遭受的直接损失及可预见的间接损失包括为维护甲方权益产生的诉讼费、律师费等。</w:t>
      </w:r>
      <w:bookmarkEnd w:id="40"/>
      <w:r>
        <w:rPr>
          <w:rFonts w:hint="eastAsia" w:ascii="仿宋" w:hAnsi="仿宋" w:eastAsia="仿宋" w:cs="仿宋"/>
          <w:bCs/>
          <w:color w:val="000000" w:themeColor="text1"/>
          <w:sz w:val="24"/>
          <w:szCs w:val="24"/>
          <w:highlight w:val="none"/>
          <w:lang w:eastAsia="zh-CN"/>
          <w14:textFill>
            <w14:solidFill>
              <w14:schemeClr w14:val="tx1"/>
            </w14:solidFill>
          </w14:textFill>
        </w:rPr>
        <w:t xml:space="preserve"> </w:t>
      </w:r>
    </w:p>
    <w:p w14:paraId="2EDD594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000000" w:themeColor="text1"/>
          <w:sz w:val="24"/>
          <w:szCs w:val="24"/>
          <w:highlight w:val="none"/>
          <w:lang w:eastAsia="zh-CN"/>
          <w14:textFill>
            <w14:solidFill>
              <w14:schemeClr w14:val="tx1"/>
            </w14:solidFill>
          </w14:textFill>
        </w:rPr>
      </w:pPr>
      <w:r>
        <w:rPr>
          <w:rFonts w:hint="eastAsia" w:ascii="仿宋" w:hAnsi="仿宋" w:eastAsia="仿宋" w:cs="仿宋"/>
          <w:bCs/>
          <w:color w:val="000000" w:themeColor="text1"/>
          <w:sz w:val="24"/>
          <w:szCs w:val="24"/>
          <w:highlight w:val="none"/>
          <w:lang w:eastAsia="zh-CN"/>
          <w14:textFill>
            <w14:solidFill>
              <w14:schemeClr w14:val="tx1"/>
            </w14:solidFill>
          </w14:textFill>
        </w:rPr>
        <w:t>3.若乙方提供的管护人员不足20名，每缺1名，甲方有权扣除对应服务周期的该人员双倍服务费；若管护人员未按要求完成巡护、防火等工作任务，单次违规甲方有权扣除合同总金额千分之三的服务费。</w:t>
      </w:r>
      <w:bookmarkEnd w:id="39"/>
    </w:p>
    <w:p w14:paraId="4302ABBD">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41" w:name="_Toc26448"/>
      <w:bookmarkStart w:id="42" w:name="tip_risk_bookmark_35"/>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sz w:val="24"/>
          <w:szCs w:val="24"/>
          <w:highlight w:val="none"/>
          <w14:textFill>
            <w14:solidFill>
              <w14:schemeClr w14:val="tx1"/>
            </w14:solidFill>
          </w14:textFill>
        </w:rPr>
        <w:t>条  不可抗力事件处理</w:t>
      </w:r>
      <w:bookmarkEnd w:id="41"/>
    </w:p>
    <w:p w14:paraId="42D37A55">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bookmarkStart w:id="43" w:name="_Toc238984980"/>
      <w:bookmarkStart w:id="44" w:name="_Toc225670756"/>
      <w:bookmarkStart w:id="45" w:name="_Toc211911353"/>
      <w:bookmarkStart w:id="46" w:name="_Toc286993792"/>
      <w:bookmarkStart w:id="47" w:name="_Toc237145411"/>
      <w:bookmarkStart w:id="48" w:name="_Toc241833908"/>
      <w:bookmarkStart w:id="49" w:name="_Toc185395254"/>
      <w:bookmarkStart w:id="50" w:name="_Toc225244857"/>
      <w:bookmarkStart w:id="51" w:name="_Toc211854454"/>
      <w:bookmarkStart w:id="52" w:name="_Toc251768867"/>
      <w:bookmarkStart w:id="53" w:name="_Toc247334846"/>
      <w:bookmarkStart w:id="54" w:name="_Toc232492933"/>
      <w:bookmarkStart w:id="55" w:name="_Toc225654649"/>
      <w:bookmarkStart w:id="56" w:name="_Toc212019599"/>
      <w:bookmarkStart w:id="57" w:name="_Toc239233919"/>
      <w:bookmarkStart w:id="58" w:name="_Toc239568423"/>
      <w:r>
        <w:rPr>
          <w:rFonts w:hint="eastAsia" w:ascii="仿宋" w:hAnsi="仿宋" w:eastAsia="仿宋" w:cs="仿宋"/>
          <w:color w:val="000000" w:themeColor="text1"/>
          <w:sz w:val="24"/>
          <w:szCs w:val="24"/>
          <w:highlight w:val="none"/>
          <w14:textFill>
            <w14:solidFill>
              <w14:schemeClr w14:val="tx1"/>
            </w14:solidFill>
          </w14:textFill>
        </w:rPr>
        <w:t>1.在合同有效期内，任何一方因不可抗力事件导致不能履行合同，则合同履行期可延长，其延长期与不可抗力影响期相同。</w:t>
      </w:r>
    </w:p>
    <w:p w14:paraId="435A2AD2">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2.不可抗力事件发生后，应立即通知对方，并寄送有关权威机构出具的证明。</w:t>
      </w:r>
    </w:p>
    <w:p w14:paraId="19B02FDD">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bookmarkStart w:id="59" w:name="tip_risk_bookmark_36"/>
      <w:r>
        <w:rPr>
          <w:rFonts w:hint="eastAsia" w:ascii="仿宋" w:hAnsi="仿宋" w:eastAsia="仿宋" w:cs="仿宋"/>
          <w:color w:val="000000" w:themeColor="text1"/>
          <w:sz w:val="24"/>
          <w:szCs w:val="24"/>
          <w:highlight w:val="none"/>
          <w14:textFill>
            <w14:solidFill>
              <w14:schemeClr w14:val="tx1"/>
            </w14:solidFill>
          </w14:textFill>
        </w:rPr>
        <w:t>3.不可抗力事件延续</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天以上，双方应通过友好协商，确定是否继续履行合同。</w:t>
      </w:r>
      <w:bookmarkEnd w:id="42"/>
      <w:bookmarkEnd w:id="59"/>
    </w:p>
    <w:p w14:paraId="07309919">
      <w:pPr>
        <w:keepNext w:val="0"/>
        <w:keepLines w:val="0"/>
        <w:pageBreakBefore w:val="0"/>
        <w:widowControl/>
        <w:wordWrap/>
        <w:overflowPunct/>
        <w:topLinePunct w:val="0"/>
        <w:bidi w:val="0"/>
        <w:adjustRightInd w:val="0"/>
        <w:snapToGrid w:val="0"/>
        <w:spacing w:before="156" w:beforeLines="50" w:after="156" w:afterLines="50" w:line="360" w:lineRule="auto"/>
        <w:ind w:firstLine="482" w:firstLineChars="200"/>
        <w:jc w:val="left"/>
        <w:textAlignment w:val="baseline"/>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60" w:name="_Toc20448"/>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60"/>
    </w:p>
    <w:p w14:paraId="3365F89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除《中华人民共和国政府采购法》第49条、第50条第二款规定的情形外，本合同一经签订，甲乙双方不得擅自变更、中止或终止合同。</w:t>
      </w:r>
    </w:p>
    <w:p w14:paraId="20845CE4">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61" w:name="_Toc32004"/>
      <w:bookmarkStart w:id="62" w:name="tip_risk_bookmark_37"/>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条  解决合同纠纷的方式</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61"/>
    </w:p>
    <w:p w14:paraId="5E1FF702">
      <w:pPr>
        <w:pStyle w:val="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000000" w:themeColor="text1"/>
          <w:kern w:val="0"/>
          <w:sz w:val="24"/>
          <w:szCs w:val="24"/>
          <w:highlight w:val="none"/>
          <w14:textFill>
            <w14:solidFill>
              <w14:schemeClr w14:val="tx1"/>
            </w14:solidFill>
          </w14:textFill>
        </w:rPr>
      </w:pPr>
      <w:bookmarkStart w:id="63" w:name="tip_risk_bookmark_38"/>
      <w:r>
        <w:rPr>
          <w:rFonts w:hint="eastAsia" w:ascii="仿宋" w:hAnsi="仿宋" w:eastAsia="仿宋" w:cs="仿宋"/>
          <w:color w:val="000000" w:themeColor="text1"/>
          <w:sz w:val="24"/>
          <w:szCs w:val="24"/>
          <w:highlight w:val="none"/>
          <w14:textFill>
            <w14:solidFill>
              <w14:schemeClr w14:val="tx1"/>
            </w14:solidFill>
          </w14:textFill>
        </w:rPr>
        <w:t>1、在执行本合同中发生的或与本合同有关的争端，双方应通过友好协商解决，经协商在</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天内不能达成协议时，</w:t>
      </w:r>
      <w:r>
        <w:rPr>
          <w:rFonts w:hint="eastAsia" w:ascii="仿宋" w:hAnsi="仿宋" w:eastAsia="仿宋" w:cs="仿宋"/>
          <w:color w:val="000000" w:themeColor="text1"/>
          <w:kern w:val="0"/>
          <w:sz w:val="24"/>
          <w:szCs w:val="24"/>
          <w:highlight w:val="none"/>
          <w14:textFill>
            <w14:solidFill>
              <w14:schemeClr w14:val="tx1"/>
            </w14:solidFill>
          </w14:textFill>
        </w:rPr>
        <w:t>则采取以下第</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1 </w:t>
      </w:r>
      <w:r>
        <w:rPr>
          <w:rFonts w:hint="eastAsia" w:ascii="仿宋" w:hAnsi="仿宋" w:eastAsia="仿宋" w:cs="仿宋"/>
          <w:color w:val="000000" w:themeColor="text1"/>
          <w:kern w:val="0"/>
          <w:sz w:val="24"/>
          <w:szCs w:val="24"/>
          <w:highlight w:val="none"/>
          <w14:textFill>
            <w14:solidFill>
              <w14:schemeClr w14:val="tx1"/>
            </w14:solidFill>
          </w14:textFill>
        </w:rPr>
        <w:t>种方式解决争议：</w:t>
      </w:r>
      <w:bookmarkEnd w:id="63"/>
    </w:p>
    <w:p w14:paraId="369C3C95">
      <w:pPr>
        <w:pStyle w:val="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（1）向甲方所在地有管辖权的人民法院提起诉讼；</w:t>
      </w:r>
    </w:p>
    <w:p w14:paraId="76C5A98A">
      <w:pPr>
        <w:pStyle w:val="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（2）向</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仲裁委员会按其仲裁规则申请仲裁。</w:t>
      </w:r>
      <w:bookmarkEnd w:id="62"/>
    </w:p>
    <w:p w14:paraId="7BE2AB0B">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2、在仲裁期间，本合同应继续履行。</w:t>
      </w:r>
    </w:p>
    <w:p w14:paraId="6768381E">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64" w:name="_Toc286993793"/>
      <w:bookmarkStart w:id="65" w:name="_Toc238984981"/>
      <w:bookmarkStart w:id="66" w:name="_Toc185395255"/>
      <w:bookmarkStart w:id="67" w:name="_Toc283019219"/>
      <w:bookmarkStart w:id="68" w:name="_Toc225654650"/>
      <w:bookmarkStart w:id="69" w:name="_Toc225670757"/>
      <w:bookmarkStart w:id="70" w:name="_Toc251768868"/>
      <w:bookmarkStart w:id="71" w:name="_Toc212019600"/>
      <w:bookmarkStart w:id="72" w:name="_Toc232492934"/>
      <w:bookmarkStart w:id="73" w:name="_Toc211911354"/>
      <w:bookmarkStart w:id="74" w:name="_Toc225244858"/>
      <w:bookmarkStart w:id="75" w:name="_Toc282696231"/>
      <w:bookmarkStart w:id="76" w:name="_Toc211854455"/>
      <w:bookmarkStart w:id="77" w:name="_Toc239568424"/>
      <w:bookmarkStart w:id="78" w:name="_Toc247334847"/>
      <w:bookmarkStart w:id="79" w:name="_Toc241833909"/>
      <w:bookmarkStart w:id="80" w:name="_Toc237145412"/>
      <w:bookmarkStart w:id="81" w:name="_Toc239233920"/>
      <w:bookmarkStart w:id="82" w:name="_Toc28433"/>
      <w:bookmarkStart w:id="83" w:name="auto_fouce_3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eastAsia="zh-CN"/>
          <w14:textFill>
            <w14:solidFill>
              <w14:schemeClr w14:val="tx1"/>
            </w14:solidFill>
          </w14:textFill>
        </w:rPr>
        <w:t>五</w:t>
      </w:r>
      <w:r>
        <w:rPr>
          <w:rFonts w:hint="eastAsia" w:ascii="仿宋" w:hAnsi="仿宋" w:eastAsia="仿宋" w:cs="仿宋"/>
          <w:b/>
          <w:color w:val="000000" w:themeColor="text1"/>
          <w:sz w:val="24"/>
          <w:szCs w:val="24"/>
          <w:highlight w:val="none"/>
          <w14:textFill>
            <w14:solidFill>
              <w14:schemeClr w14:val="tx1"/>
            </w14:solidFill>
          </w14:textFill>
        </w:rPr>
        <w:t>条  合同</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color w:val="000000" w:themeColor="text1"/>
          <w:sz w:val="24"/>
          <w:szCs w:val="24"/>
          <w:highlight w:val="none"/>
          <w14:textFill>
            <w14:solidFill>
              <w14:schemeClr w14:val="tx1"/>
            </w14:solidFill>
          </w14:textFill>
        </w:rPr>
        <w:t>生效及其他</w:t>
      </w:r>
      <w:bookmarkEnd w:id="82"/>
      <w:bookmarkEnd w:id="83"/>
    </w:p>
    <w:p w14:paraId="411B8FD6">
      <w:pPr>
        <w:pStyle w:val="8"/>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1、合同经双方法定代表人（单位负责人）或授权委托代理人签字并加盖单位公章后生效。</w:t>
      </w:r>
    </w:p>
    <w:p w14:paraId="7B628D35">
      <w:pPr>
        <w:pStyle w:val="8"/>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2、合同执行中涉及采购资金和采购内容修改或补充的，须经政府采购监管部门审批，并</w:t>
      </w:r>
      <w:r>
        <w:rPr>
          <w:rFonts w:hint="eastAsia" w:ascii="仿宋" w:hAnsi="仿宋" w:eastAsia="仿宋" w:cs="仿宋"/>
          <w:color w:val="000000" w:themeColor="text1"/>
          <w:sz w:val="24"/>
          <w:szCs w:val="24"/>
          <w:highlight w:val="none"/>
          <w:lang w:eastAsia="zh-CN"/>
          <w14:textFill>
            <w14:solidFill>
              <w14:schemeClr w14:val="tx1"/>
            </w14:solidFill>
          </w14:textFill>
        </w:rPr>
        <w:t>签订</w:t>
      </w:r>
      <w:r>
        <w:rPr>
          <w:rFonts w:hint="eastAsia" w:ascii="仿宋" w:hAnsi="仿宋" w:eastAsia="仿宋" w:cs="仿宋"/>
          <w:color w:val="000000" w:themeColor="text1"/>
          <w:sz w:val="24"/>
          <w:szCs w:val="24"/>
          <w:highlight w:val="none"/>
          <w14:textFill>
            <w14:solidFill>
              <w14:schemeClr w14:val="tx1"/>
            </w14:solidFill>
          </w14:textFill>
        </w:rPr>
        <w:t>书面补充协议报政府采购监督管理部门备案，方可作为主合同不可分割的一部分。</w:t>
      </w:r>
    </w:p>
    <w:p w14:paraId="57E507FE">
      <w:pPr>
        <w:pStyle w:val="8"/>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14:textFill>
            <w14:solidFill>
              <w14:schemeClr w14:val="tx1"/>
            </w14:solidFill>
          </w14:textFill>
        </w:rPr>
      </w:pPr>
      <w:bookmarkStart w:id="84" w:name="tip_risk_bookmark_40"/>
      <w:r>
        <w:rPr>
          <w:rFonts w:hint="eastAsia" w:ascii="仿宋" w:hAnsi="仿宋" w:eastAsia="仿宋" w:cs="仿宋"/>
          <w:color w:val="000000" w:themeColor="text1"/>
          <w:sz w:val="24"/>
          <w:szCs w:val="24"/>
          <w:highlight w:val="none"/>
          <w14:textFill>
            <w14:solidFill>
              <w14:schemeClr w14:val="tx1"/>
            </w14:solidFill>
          </w14:textFill>
        </w:rPr>
        <w:t>3、本合同一式</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份，自双方签章之日起</w:t>
      </w:r>
      <w:r>
        <w:rPr>
          <w:rFonts w:hint="eastAsia" w:ascii="仿宋" w:hAnsi="仿宋" w:eastAsia="仿宋" w:cs="仿宋"/>
          <w:color w:val="000000" w:themeColor="text1"/>
          <w:sz w:val="24"/>
          <w:szCs w:val="24"/>
          <w:highlight w:val="none"/>
          <w:lang w:eastAsia="zh-CN"/>
          <w14:textFill>
            <w14:solidFill>
              <w14:schemeClr w14:val="tx1"/>
            </w14:solidFill>
          </w14:textFill>
        </w:rPr>
        <w:t>生效</w:t>
      </w:r>
      <w:r>
        <w:rPr>
          <w:rFonts w:hint="eastAsia" w:ascii="仿宋" w:hAnsi="仿宋" w:eastAsia="仿宋" w:cs="仿宋"/>
          <w:color w:val="000000" w:themeColor="text1"/>
          <w:sz w:val="24"/>
          <w:szCs w:val="24"/>
          <w:highlight w:val="none"/>
          <w14:textFill>
            <w14:solidFill>
              <w14:schemeClr w14:val="tx1"/>
            </w14:solidFill>
          </w14:textFill>
        </w:rPr>
        <w:t>。甲方</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份，乙方</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份，具有同等法律效力。</w:t>
      </w:r>
      <w:bookmarkEnd w:id="84"/>
    </w:p>
    <w:p w14:paraId="52BBA38F">
      <w:pPr>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p>
    <w:p w14:paraId="75E5196D">
      <w:pPr>
        <w:pStyle w:val="8"/>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此页无正文</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485969AD">
      <w:pPr>
        <w:pStyle w:val="2"/>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000000" w:themeColor="text1"/>
          <w:sz w:val="24"/>
          <w:szCs w:val="24"/>
          <w:highlight w:val="none"/>
          <w14:textFill>
            <w14:solidFill>
              <w14:schemeClr w14:val="tx1"/>
            </w14:solidFill>
          </w14:textFill>
        </w:rPr>
      </w:pPr>
    </w:p>
    <w:p w14:paraId="6309950E">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 xml:space="preserve">：   （盖章）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乙方</w:t>
      </w:r>
      <w:r>
        <w:rPr>
          <w:rFonts w:hint="eastAsia" w:ascii="仿宋" w:hAnsi="仿宋" w:eastAsia="仿宋" w:cs="仿宋"/>
          <w:color w:val="000000" w:themeColor="text1"/>
          <w:sz w:val="24"/>
          <w:szCs w:val="24"/>
          <w:highlight w:val="none"/>
          <w14:textFill>
            <w14:solidFill>
              <w14:schemeClr w14:val="tx1"/>
            </w14:solidFill>
          </w14:textFill>
        </w:rPr>
        <w:t>：   （盖章）</w:t>
      </w:r>
    </w:p>
    <w:p w14:paraId="2EDFBCF2">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法定代表人：（单位负责人）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法定代表人：（单位负责人）</w:t>
      </w:r>
    </w:p>
    <w:p w14:paraId="194021AF">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    址：                           地    址：</w:t>
      </w:r>
    </w:p>
    <w:p w14:paraId="117CB7EA">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开户银行：                           开户银行：</w:t>
      </w:r>
    </w:p>
    <w:p w14:paraId="0AE409EC">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账号：                               账号：</w:t>
      </w:r>
    </w:p>
    <w:p w14:paraId="72E562E9">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    话：                           电    话：</w:t>
      </w:r>
    </w:p>
    <w:p w14:paraId="13115B7F">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传    真：                           传    真：</w:t>
      </w:r>
    </w:p>
    <w:p w14:paraId="12540BA6">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000000" w:themeColor="text1"/>
          <w:sz w:val="24"/>
          <w:szCs w:val="24"/>
          <w:highlight w:val="none"/>
          <w14:textFill>
            <w14:solidFill>
              <w14:schemeClr w14:val="tx1"/>
            </w14:solidFill>
          </w14:textFill>
        </w:rPr>
      </w:pPr>
      <w:bookmarkStart w:id="85" w:name="tip_risk_bookmark_41"/>
      <w:r>
        <w:rPr>
          <w:rFonts w:hint="eastAsia" w:ascii="仿宋" w:hAnsi="仿宋" w:eastAsia="仿宋" w:cs="仿宋"/>
          <w:color w:val="000000" w:themeColor="text1"/>
          <w:sz w:val="24"/>
          <w:szCs w:val="24"/>
          <w:highlight w:val="none"/>
          <w14:textFill>
            <w14:solidFill>
              <w14:schemeClr w14:val="tx1"/>
            </w14:solidFill>
          </w14:textFill>
        </w:rPr>
        <w:t xml:space="preserve">签约日期：  年  月  日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签约日期：  年  月  日</w:t>
      </w:r>
      <w:bookmarkEnd w:id="85"/>
    </w:p>
    <w:p w14:paraId="022F100A">
      <w:pPr>
        <w:rPr>
          <w:rFonts w:hint="eastAsia" w:ascii="仿宋" w:hAnsi="仿宋" w:eastAsia="仿宋" w:cs="仿宋"/>
          <w:color w:val="000000" w:themeColor="text1"/>
          <w:highlight w:val="none"/>
          <w14:textFill>
            <w14:solidFill>
              <w14:schemeClr w14:val="tx1"/>
            </w14:solidFill>
          </w14:textFill>
        </w:rPr>
      </w:pPr>
    </w:p>
    <w:p w14:paraId="6C5CECC7">
      <w:pPr>
        <w:pStyle w:val="6"/>
        <w:rPr>
          <w:rFonts w:hint="eastAsia" w:ascii="仿宋" w:hAnsi="仿宋" w:eastAsia="仿宋" w:cs="仿宋"/>
          <w:color w:val="000000" w:themeColor="text1"/>
          <w:highlight w:val="none"/>
          <w:lang w:val="en-US" w:eastAsia="zh-Hans"/>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br w:type="textWrapping"/>
      </w:r>
    </w:p>
    <w:p w14:paraId="51B7EA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71201">
    <w:pPr>
      <w:tabs>
        <w:tab w:val="center" w:pos="4153"/>
        <w:tab w:val="right" w:pos="8306"/>
      </w:tabs>
      <w:snapToGrid w:val="0"/>
      <w:ind w:right="360"/>
      <w:jc w:val="righ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95B155F">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095B155F">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v:textbox>
            </v:shape>
          </w:pict>
        </mc:Fallback>
      </mc:AlternateContent>
    </w:r>
    <w:r>
      <w:rPr>
        <w:rFonts w:ascii="Times New Roman" w:hAnsi="Times New Roman"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1E9D116">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2B2CC2E6">
                          <w:pPr>
                            <w:widowControl/>
                            <w:textAlignment w:val="baseline"/>
                            <w:rPr>
                              <w:rFonts w:ascii="Times New Roman" w:hAnsi="Times New Roman" w:eastAsia="宋体" w:cs="Times New Roman"/>
                              <w:szCs w:val="20"/>
                            </w:rPr>
                          </w:pPr>
                        </w:p>
                      </w:txbxContent>
                    </wps:txbx>
                    <wps:bodyPr lIns="0" tIns="0" rIns="0" bIns="0" upright="1"/>
                  </wps:wsp>
                </a:graphicData>
              </a:graphic>
            </wp:anchor>
          </w:drawing>
        </mc:Choice>
        <mc:Fallback>
          <w:pict>
            <v:shape id="_x0000_s1026"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pPZA0gAAAAUBAAAPAAAAAAAAAAEAIAAAACIAAABkcnMvZG93bnJldi54bWxQSwECFAAUAAAACACH&#10;TuJAttE7iLgBAACBAwAADgAAAAAAAAABACAAAAAhAQAAZHJzL2Uyb0RvYy54bWxQSwUGAAAAAAYA&#10;BgBZAQAASwUAAAAA&#10;">
              <v:fill on="f" focussize="0,0"/>
              <v:stroke on="f"/>
              <v:imagedata o:title=""/>
              <o:lock v:ext="edit" aspectratio="f"/>
              <v:textbox inset="0mm,0mm,0mm,0mm">
                <w:txbxContent>
                  <w:p w14:paraId="21E9D116">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2B2CC2E6">
                    <w:pPr>
                      <w:widowControl/>
                      <w:textAlignment w:val="baseline"/>
                      <w:rPr>
                        <w:rFonts w:ascii="Times New Roman" w:hAnsi="Times New Roman" w:eastAsia="宋体" w:cs="Times New Roman"/>
                        <w:szCs w:val="20"/>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210322"/>
    <w:rsid w:val="28E92FE4"/>
    <w:rsid w:val="63210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widowControl/>
      <w:tabs>
        <w:tab w:val="center" w:pos="4153"/>
        <w:tab w:val="right" w:pos="8306"/>
      </w:tabs>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18"/>
      <w:szCs w:val="21"/>
      <w:lang w:eastAsia="en-US"/>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样式 首行缩进:  2 字符"/>
    <w:basedOn w:val="1"/>
    <w:qFormat/>
    <w:uiPriority w:val="0"/>
    <w:pPr>
      <w:widowControl/>
      <w:kinsoku w:val="0"/>
      <w:autoSpaceDE w:val="0"/>
      <w:autoSpaceDN w:val="0"/>
      <w:adjustRightInd w:val="0"/>
      <w:snapToGrid w:val="0"/>
      <w:spacing w:line="400" w:lineRule="exact"/>
      <w:ind w:firstLine="200" w:firstLineChars="200"/>
      <w:jc w:val="left"/>
      <w:textAlignment w:val="baseline"/>
    </w:pPr>
    <w:rPr>
      <w:rFonts w:ascii="Arial" w:hAnsi="Arial" w:eastAsia="Arial" w:cs="宋体"/>
      <w:snapToGrid w:val="0"/>
      <w:color w:val="000000"/>
      <w:kern w:val="0"/>
      <w:sz w:val="24"/>
      <w:szCs w:val="21"/>
      <w:lang w:eastAsia="en-US"/>
    </w:rPr>
  </w:style>
  <w:style w:type="paragraph" w:styleId="8">
    <w:name w:val="List Paragraph"/>
    <w:basedOn w:val="1"/>
    <w:qFormat/>
    <w:uiPriority w:val="0"/>
    <w:pPr>
      <w:widowControl/>
      <w:kinsoku w:val="0"/>
      <w:autoSpaceDE w:val="0"/>
      <w:autoSpaceDN w:val="0"/>
      <w:adjustRightInd w:val="0"/>
      <w:snapToGrid w:val="0"/>
      <w:spacing w:line="240" w:lineRule="auto"/>
      <w:ind w:firstLine="420" w:firstLineChars="200"/>
      <w:jc w:val="left"/>
      <w:textAlignment w:val="baseline"/>
    </w:pPr>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3089</Words>
  <Characters>3151</Characters>
  <Lines>0</Lines>
  <Paragraphs>0</Paragraphs>
  <TotalTime>0</TotalTime>
  <ScaleCrop>false</ScaleCrop>
  <LinksUpToDate>false</LinksUpToDate>
  <CharactersWithSpaces>3616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2026-08-06T07:36:00Z</dcterms:created>
  <dc:creator>WPS_1530263423</dc:creator>
  <cp:lastModifiedBy>WPS_1530263423</cp:lastModifiedBy>
  <dcterms:modified xsi:type="dcterms:W3CDTF">2026-08-10T06:40:01Z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D74C78E6737F4C72B040C8CCD9F0B4A0_11</vt:lpwstr>
  </property>
  <property fmtid="{D5CDD505-2E9C-101B-9397-08002B2CF9AE}" pid="4" name="KSOTemplateDocerSaveRecord">
    <vt:lpwstr>eyJoZGlkIjoiNmNlODdmYTZjMDBjNDU5NmRjMDlmMjkyYTZiMTNmMmQiLCJ1c2VySWQiOiIzODIyOTQ0NTkifQ==</vt:lpwstr>
  </property>
</Properties>
</file>